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28" w:rsidRPr="00126D28" w:rsidRDefault="00126D28" w:rsidP="00126D28">
      <w:pPr>
        <w:pStyle w:val="Default"/>
        <w:rPr>
          <w:rFonts w:ascii="Times New Roman" w:hAnsi="Times New Roman" w:cs="Times New Roman"/>
          <w:b/>
          <w:color w:val="auto"/>
          <w:sz w:val="20"/>
          <w:szCs w:val="20"/>
          <w:lang w:val="kk-KZ"/>
        </w:rPr>
      </w:pPr>
      <w:r w:rsidRPr="00126D28">
        <w:rPr>
          <w:rFonts w:ascii="Times New Roman" w:hAnsi="Times New Roman" w:cs="Times New Roman"/>
          <w:b/>
          <w:iCs/>
          <w:color w:val="auto"/>
          <w:sz w:val="20"/>
          <w:szCs w:val="20"/>
          <w:lang w:val="kk-KZ"/>
        </w:rPr>
        <w:t>778-154-94-69</w:t>
      </w:r>
    </w:p>
    <w:p w:rsidR="00126D28" w:rsidRPr="00126D28" w:rsidRDefault="00126D28" w:rsidP="00126D28">
      <w:pPr>
        <w:rPr>
          <w:b/>
          <w:sz w:val="20"/>
          <w:szCs w:val="20"/>
        </w:rPr>
      </w:pPr>
      <w:r w:rsidRPr="00126D28">
        <w:rPr>
          <w:b/>
          <w:iCs/>
          <w:sz w:val="20"/>
          <w:szCs w:val="20"/>
        </w:rPr>
        <w:t>E-mail: banu_12.-01@mail.ru</w:t>
      </w:r>
    </w:p>
    <w:p w:rsidR="00126D28" w:rsidRPr="00126D28" w:rsidRDefault="00126D28" w:rsidP="00126D28">
      <w:pPr>
        <w:pStyle w:val="Default"/>
        <w:rPr>
          <w:rFonts w:ascii="Times New Roman" w:hAnsi="Times New Roman" w:cs="Times New Roman"/>
          <w:b/>
          <w:iCs/>
          <w:color w:val="auto"/>
          <w:sz w:val="20"/>
          <w:szCs w:val="20"/>
          <w:lang w:val="kk-KZ"/>
        </w:rPr>
      </w:pPr>
    </w:p>
    <w:p w:rsidR="00126D28" w:rsidRPr="00126D28" w:rsidRDefault="00126D28" w:rsidP="00126D28">
      <w:pPr>
        <w:pStyle w:val="Default"/>
        <w:rPr>
          <w:rFonts w:ascii="Times New Roman" w:hAnsi="Times New Roman" w:cs="Times New Roman"/>
          <w:b/>
          <w:color w:val="auto"/>
          <w:sz w:val="20"/>
          <w:szCs w:val="20"/>
          <w:lang w:val="kk-KZ"/>
        </w:rPr>
      </w:pPr>
      <w:r w:rsidRPr="00126D28">
        <w:rPr>
          <w:rFonts w:ascii="Times New Roman" w:hAnsi="Times New Roman" w:cs="Times New Roman"/>
          <w:b/>
          <w:iCs/>
          <w:color w:val="auto"/>
          <w:sz w:val="20"/>
          <w:szCs w:val="20"/>
          <w:lang w:val="kk-KZ"/>
        </w:rPr>
        <w:t>ХАЙЫПНАЗАРҚЫЗЫ Гүлбану,</w:t>
      </w:r>
    </w:p>
    <w:p w:rsidR="00126D28" w:rsidRPr="00126D28" w:rsidRDefault="00126D28" w:rsidP="00126D28">
      <w:pPr>
        <w:pStyle w:val="Default"/>
        <w:rPr>
          <w:rFonts w:ascii="Times New Roman" w:hAnsi="Times New Roman" w:cs="Times New Roman"/>
          <w:b/>
          <w:iCs/>
          <w:color w:val="auto"/>
          <w:sz w:val="20"/>
          <w:szCs w:val="20"/>
          <w:lang w:val="kk-KZ"/>
        </w:rPr>
      </w:pPr>
      <w:r w:rsidRPr="00126D28">
        <w:rPr>
          <w:rFonts w:ascii="Times New Roman" w:hAnsi="Times New Roman" w:cs="Times New Roman"/>
          <w:b/>
          <w:iCs/>
          <w:color w:val="auto"/>
          <w:sz w:val="20"/>
          <w:szCs w:val="20"/>
          <w:lang w:val="kk-KZ"/>
        </w:rPr>
        <w:t>З.Космодемьянская атындағы №23 мектеп-лицей</w:t>
      </w:r>
      <w:r w:rsidRPr="00126D28">
        <w:rPr>
          <w:rFonts w:ascii="Times New Roman" w:hAnsi="Times New Roman" w:cs="Times New Roman"/>
          <w:b/>
          <w:color w:val="auto"/>
          <w:sz w:val="20"/>
          <w:szCs w:val="20"/>
          <w:lang w:val="kk-KZ"/>
        </w:rPr>
        <w:t xml:space="preserve">інің </w:t>
      </w:r>
      <w:r w:rsidRPr="00126D28">
        <w:rPr>
          <w:rFonts w:ascii="Times New Roman" w:hAnsi="Times New Roman" w:cs="Times New Roman"/>
          <w:b/>
          <w:iCs/>
          <w:color w:val="auto"/>
          <w:sz w:val="20"/>
          <w:szCs w:val="20"/>
          <w:lang w:val="kk-KZ"/>
        </w:rPr>
        <w:t>ағылшын тілі пәні мұғалімі.</w:t>
      </w:r>
    </w:p>
    <w:p w:rsidR="00126D28" w:rsidRPr="00126D28" w:rsidRDefault="00126D28" w:rsidP="00126D28">
      <w:pPr>
        <w:pStyle w:val="Default"/>
        <w:rPr>
          <w:rFonts w:ascii="Times New Roman" w:hAnsi="Times New Roman" w:cs="Times New Roman"/>
          <w:b/>
          <w:iCs/>
          <w:color w:val="auto"/>
          <w:sz w:val="20"/>
          <w:szCs w:val="20"/>
          <w:lang w:val="kk-KZ"/>
        </w:rPr>
      </w:pPr>
      <w:r w:rsidRPr="00126D28">
        <w:rPr>
          <w:rFonts w:ascii="Times New Roman" w:hAnsi="Times New Roman" w:cs="Times New Roman"/>
          <w:b/>
          <w:iCs/>
          <w:color w:val="auto"/>
          <w:sz w:val="20"/>
          <w:szCs w:val="20"/>
          <w:lang w:val="kk-KZ"/>
        </w:rPr>
        <w:t>Шымкент қаласы</w:t>
      </w:r>
    </w:p>
    <w:p w:rsidR="00126D28" w:rsidRPr="00126D28" w:rsidRDefault="00126D28" w:rsidP="00126D28">
      <w:pPr>
        <w:pStyle w:val="a5"/>
        <w:rPr>
          <w:rFonts w:ascii="Times New Roman" w:hAnsi="Times New Roman" w:cs="Times New Roman"/>
          <w:sz w:val="20"/>
          <w:szCs w:val="20"/>
        </w:rPr>
      </w:pPr>
    </w:p>
    <w:p w:rsidR="00741D05" w:rsidRPr="00126D28" w:rsidRDefault="00126D28" w:rsidP="00126D28">
      <w:pPr>
        <w:pStyle w:val="a5"/>
        <w:jc w:val="center"/>
        <w:rPr>
          <w:rFonts w:ascii="Times New Roman" w:eastAsia="Times New Roman" w:hAnsi="Times New Roman" w:cs="Times New Roman"/>
          <w:b/>
          <w:sz w:val="20"/>
          <w:szCs w:val="20"/>
        </w:rPr>
      </w:pPr>
      <w:r w:rsidRPr="00126D28">
        <w:rPr>
          <w:rFonts w:ascii="Times New Roman" w:hAnsi="Times New Roman" w:cs="Times New Roman"/>
          <w:b/>
          <w:sz w:val="20"/>
          <w:szCs w:val="20"/>
        </w:rPr>
        <w:t>PUBLICLY AVAILABLE HIGH-QUALITY EDUCATION: EMPOWERING LEARNERS THROUGH ACCESSIBLE KNOWLEDGE</w:t>
      </w:r>
    </w:p>
    <w:p w:rsidR="00741D05" w:rsidRPr="00126D28" w:rsidRDefault="00741D05" w:rsidP="00126D28">
      <w:pPr>
        <w:pStyle w:val="a5"/>
        <w:jc w:val="both"/>
        <w:rPr>
          <w:rFonts w:ascii="Times New Roman" w:eastAsia="Times New Roman" w:hAnsi="Times New Roman" w:cs="Times New Roman"/>
          <w:sz w:val="20"/>
          <w:szCs w:val="20"/>
        </w:rPr>
      </w:pP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In today's rapidly evolving world, education plays a pivotal role in shaping individual lives and driving societal progress. However, access to high-quality education remains a privilege rather than a universal right in many parts of the world. The concept of publicly available high-quality education aims to dismantle barriers to learning, ensuring that every individual, regardless of socioeconomic status or geographical location, has equitable access to educational opportunities of the highest caliber. This essay explores the significance of publicly available high-quality education, delves into the competence of teachers as a critical component of educational excellence, and highlights the transformative potential of accessible knowledge in empowering learners globally.</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Importance of Publicly Available High-Quality Education</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Publicly available high-quality education is rooted in the belief that education is a fundamental human right and a cornerstone of sustainable development. It encompasses the provision of education that is accessible, inclusive, and of exceptional quality, thereby enabling individuals to reach their full potential and contribute meaningfully to society. By making education available to all, regardless of socioeconomic status or background, publicly available high-quality education promotes social mobility, fosters economic growth, and cultivates a more equitable and just society [1].</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One of the primary benefits of publicly available high-quality education is its capacity to break the cycle of poverty and inequality. Access to quality education equi</w:t>
      </w:r>
      <w:bookmarkStart w:id="0" w:name="_GoBack"/>
      <w:bookmarkEnd w:id="0"/>
      <w:r w:rsidRPr="00126D28">
        <w:rPr>
          <w:rFonts w:ascii="Times New Roman" w:hAnsi="Times New Roman" w:cs="Times New Roman"/>
          <w:sz w:val="20"/>
          <w:szCs w:val="20"/>
        </w:rPr>
        <w:t>ps individuals with the knowledge, skills, and opportunities needed to improve their socioeconomic status and create a better future for themselves and their communities. Moreover, publicly available high-quality education fosters social cohesion and cultural understanding by promoting diversity, inclusion, and mutual respect among learners from diverse backgrounds.</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hAnsi="Times New Roman" w:cs="Times New Roman"/>
          <w:sz w:val="20"/>
          <w:szCs w:val="20"/>
        </w:rPr>
        <w:t>Furthermore, publicly available high-quality education is essential for fostering innovation, creativity, and critical thinking skills essential for addressing complex global challenges. By providing learners with a solid foundation in core subjects such as mathematics, science, language arts, and humanities, high-quality education cultivates the intellectual curiosity and analytical skills needed to navigate an increasingly interconnected and dynamic world. Additionally, publicly available high-quality education nurtures values such as civic responsibility, environmental stewardship, and ethical leadership, thereby preparing learners to become informed and engaged citizens capable of contributing positively to society [2].</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Competence of Teachers in Ensuring Educational Excellence</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Central to the provision of publicly available high-quality education is the competence of teachers, who serve as the cornerstone of educational excellence. Teachers play a multifaceted role in the teaching-learning process, serving as facilitators of knowledge, mentors, role models, and advocates for their students' success. As such, the competence of teachers is paramount in ensuring that learners receive a rigorous and enriching educational experience that meets their individual needs and aspirations.</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First and foremost, competent teachers possess a deep understanding of their subject matter and pedagogical content knowledge. They are knowledgeable about the latest research, theories, and best practices in education and are able to translate this knowledge into effective instructional strategies that promote student learning and achievement [3]. Moreover, competent teachers are skilled in designing and implementing differentiated instruction to accommodate the diverse learning needs and preferences of their students, ensuring that every learner has the opportunity to succeed.</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In addition to subject matter expertise, competent teachers possess strong interpersonal skills and the ability to foster positive and supportive learning environments. They demonstrate empathy, patience, and cultural sensitivity in their interactions with students, recognizing and valuing the unique strengths and perspectives that each individual brings to the classroom. Competent teachers also prioritize the social and emotional well-being of their students, providing guidance, encouragement, and mentorship to help them navigate the challenges of academic life and personal development.</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Furthermore, competent teachers are lifelong learners who actively engage in professional development and reflective practice to continuously enhance their teaching skills and effectiveness [4]. They seek out opportunities for growth, collaboration, and feedback, striving to stay abreast of emerging trends and innovations in education. Additionally, competent teachers embrace innovation and technology as tools to enhance teaching and learning, leveraging digital resources, and platforms to create dynamic and interactive learning experiences for their students.</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Transformative Potential of Accessible Knowledge</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 xml:space="preserve">The provision of publicly available high-quality education has the transformative potential to empower learners and catalyze positive social change on a global scale. By democratizing access to knowledge and learning opportunities, publicly available high-quality education dismantles barriers to education and unlocks the potential of </w:t>
      </w:r>
      <w:r w:rsidRPr="00126D28">
        <w:rPr>
          <w:rFonts w:ascii="Times New Roman" w:hAnsi="Times New Roman" w:cs="Times New Roman"/>
          <w:sz w:val="20"/>
          <w:szCs w:val="20"/>
        </w:rPr>
        <w:lastRenderedPageBreak/>
        <w:t>individuals and communities. Through accessible knowledge, learners gain the skills, confidence, and agency to pursue their dreams, advocate for their rights, and contribute to the advancement of society.</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Moreover, publicly available high-quality education fosters a culture of lifelong learning, wherein individuals are empowered to continuously acquire new knowledge and skills throughout their lives. This not only enhances individual employability and economic prosperity but also strengthens the resilience and adaptability of societies in the face of rapid technological advancements and socioeconomic changes. By fostering a culture of innovation, creativity, and critical thinking, publicly available high-quality education enables individuals to become active participants in shaping the future and addressing pressing global challenges.</w:t>
      </w:r>
    </w:p>
    <w:p w:rsidR="00741D05"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Furthermore, publicly available high-quality education promotes social cohesion and intercultural understanding by fostering dialogue, collaboration, and mutual respect among learners from diverse backgrounds. Through shared educational experiences, individuals develop empathy, appreciation for diversity, and a sense of global citizenship, thereby contributing to the creation of more inclusive and harmonious societies. Additionally, publicly available high-quality education promotes social justice and equity by addressing systemic inequalities and empowering marginalized and underserved populations through education [5].</w:t>
      </w:r>
    </w:p>
    <w:p w:rsidR="00CF38FC" w:rsidRPr="00126D28" w:rsidRDefault="00A526CF" w:rsidP="00126D28">
      <w:pPr>
        <w:pStyle w:val="a5"/>
        <w:jc w:val="both"/>
        <w:rPr>
          <w:rFonts w:ascii="Times New Roman" w:eastAsia="Times New Roman" w:hAnsi="Times New Roman" w:cs="Times New Roman"/>
          <w:sz w:val="20"/>
          <w:szCs w:val="20"/>
        </w:rPr>
      </w:pPr>
      <w:r w:rsidRPr="00126D28">
        <w:rPr>
          <w:rFonts w:ascii="Times New Roman" w:eastAsia="Times New Roman" w:hAnsi="Times New Roman" w:cs="Times New Roman"/>
          <w:sz w:val="20"/>
          <w:szCs w:val="20"/>
        </w:rPr>
        <w:tab/>
      </w:r>
      <w:r w:rsidRPr="00126D28">
        <w:rPr>
          <w:rFonts w:ascii="Times New Roman" w:hAnsi="Times New Roman" w:cs="Times New Roman"/>
          <w:sz w:val="20"/>
          <w:szCs w:val="20"/>
        </w:rPr>
        <w:t>In conclusion, publicly available high-quality education is a catalyst for positive social change and human development, enabling individuals to realize their full potential and contribute meaningfully to society. By prioritizing educational excellence and ensuring equitable access to knowledge and learning opportunities, publicly available high-quality education lays the foundation for a more inclusive, prosperous, and sustainable future. Through the competence of teachers, the transformative potential of accessible knowledge is realized, empowering learners to navigate the complexities of the modern world and become agents of positive change in their communities and beyond.</w:t>
      </w:r>
    </w:p>
    <w:sectPr w:rsidR="00CF38FC" w:rsidRPr="00126D2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B7D" w:rsidRDefault="00CE0B7D">
      <w:r>
        <w:separator/>
      </w:r>
    </w:p>
  </w:endnote>
  <w:endnote w:type="continuationSeparator" w:id="0">
    <w:p w:rsidR="00CE0B7D" w:rsidRDefault="00CE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B7D" w:rsidRDefault="00CE0B7D">
      <w:r>
        <w:separator/>
      </w:r>
    </w:p>
  </w:footnote>
  <w:footnote w:type="continuationSeparator" w:id="0">
    <w:p w:rsidR="00CE0B7D" w:rsidRDefault="00CE0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9786E"/>
    <w:multiLevelType w:val="hybridMultilevel"/>
    <w:tmpl w:val="CD966CBA"/>
    <w:styleLink w:val="a"/>
    <w:lvl w:ilvl="0" w:tplc="95EE55EA">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66F41812">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F27C0CEA">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DB9C867C">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DC0AFB44">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2B66685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E7F2BC60">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22DA7FB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279E3F64">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2AE5AC6"/>
    <w:multiLevelType w:val="hybridMultilevel"/>
    <w:tmpl w:val="CD966CBA"/>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05"/>
    <w:rsid w:val="00126D28"/>
    <w:rsid w:val="00741D05"/>
    <w:rsid w:val="00780CB9"/>
    <w:rsid w:val="00A526CF"/>
    <w:rsid w:val="00CE0B7D"/>
    <w:rsid w:val="00CF38FC"/>
    <w:rsid w:val="00D63929"/>
    <w:rsid w:val="00E81ADF"/>
    <w:rsid w:val="00FC6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Body Text"/>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a">
    <w:name w:val="С числами"/>
    <w:pPr>
      <w:numPr>
        <w:numId w:val="1"/>
      </w:numPr>
    </w:pPr>
  </w:style>
  <w:style w:type="paragraph" w:styleId="HTML">
    <w:name w:val="HTML Preformatted"/>
    <w:basedOn w:val="a0"/>
    <w:link w:val="HTML0"/>
    <w:uiPriority w:val="99"/>
    <w:semiHidden/>
    <w:unhideWhenUsed/>
    <w:rsid w:val="00CF38F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ru-RU" w:eastAsia="ru-RU"/>
    </w:rPr>
  </w:style>
  <w:style w:type="character" w:customStyle="1" w:styleId="HTML0">
    <w:name w:val="Стандартный HTML Знак"/>
    <w:basedOn w:val="a1"/>
    <w:link w:val="HTML"/>
    <w:uiPriority w:val="99"/>
    <w:semiHidden/>
    <w:rsid w:val="00CF38FC"/>
    <w:rPr>
      <w:rFonts w:ascii="Courier New" w:eastAsia="Times New Roman" w:hAnsi="Courier New" w:cs="Courier New"/>
      <w:bdr w:val="none" w:sz="0" w:space="0" w:color="auto"/>
    </w:rPr>
  </w:style>
  <w:style w:type="character" w:customStyle="1" w:styleId="y2iqfc">
    <w:name w:val="y2iqfc"/>
    <w:basedOn w:val="a1"/>
    <w:rsid w:val="00CF38FC"/>
  </w:style>
  <w:style w:type="paragraph" w:customStyle="1" w:styleId="Default">
    <w:name w:val="Default"/>
    <w:qFormat/>
    <w:rsid w:val="00126D2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color w:val="000000"/>
      <w:sz w:val="24"/>
      <w:szCs w:val="24"/>
      <w:bdr w:val="none" w:sz="0" w:space="0" w:color="auto"/>
    </w:rPr>
  </w:style>
  <w:style w:type="paragraph" w:styleId="a6">
    <w:name w:val="header"/>
    <w:basedOn w:val="a0"/>
    <w:link w:val="a7"/>
    <w:uiPriority w:val="99"/>
    <w:unhideWhenUsed/>
    <w:rsid w:val="00126D28"/>
    <w:pPr>
      <w:tabs>
        <w:tab w:val="center" w:pos="4677"/>
        <w:tab w:val="right" w:pos="9355"/>
      </w:tabs>
    </w:pPr>
  </w:style>
  <w:style w:type="character" w:customStyle="1" w:styleId="a7">
    <w:name w:val="Верхний колонтитул Знак"/>
    <w:basedOn w:val="a1"/>
    <w:link w:val="a6"/>
    <w:uiPriority w:val="99"/>
    <w:rsid w:val="00126D28"/>
    <w:rPr>
      <w:sz w:val="24"/>
      <w:szCs w:val="24"/>
      <w:lang w:val="en-US" w:eastAsia="en-US"/>
    </w:rPr>
  </w:style>
  <w:style w:type="paragraph" w:styleId="a8">
    <w:name w:val="footer"/>
    <w:basedOn w:val="a0"/>
    <w:link w:val="a9"/>
    <w:uiPriority w:val="99"/>
    <w:unhideWhenUsed/>
    <w:rsid w:val="00126D28"/>
    <w:pPr>
      <w:tabs>
        <w:tab w:val="center" w:pos="4677"/>
        <w:tab w:val="right" w:pos="9355"/>
      </w:tabs>
    </w:pPr>
  </w:style>
  <w:style w:type="character" w:customStyle="1" w:styleId="a9">
    <w:name w:val="Нижний колонтитул Знак"/>
    <w:basedOn w:val="a1"/>
    <w:link w:val="a8"/>
    <w:uiPriority w:val="99"/>
    <w:rsid w:val="00126D2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Body Text"/>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a">
    <w:name w:val="С числами"/>
    <w:pPr>
      <w:numPr>
        <w:numId w:val="1"/>
      </w:numPr>
    </w:pPr>
  </w:style>
  <w:style w:type="paragraph" w:styleId="HTML">
    <w:name w:val="HTML Preformatted"/>
    <w:basedOn w:val="a0"/>
    <w:link w:val="HTML0"/>
    <w:uiPriority w:val="99"/>
    <w:semiHidden/>
    <w:unhideWhenUsed/>
    <w:rsid w:val="00CF38F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ru-RU" w:eastAsia="ru-RU"/>
    </w:rPr>
  </w:style>
  <w:style w:type="character" w:customStyle="1" w:styleId="HTML0">
    <w:name w:val="Стандартный HTML Знак"/>
    <w:basedOn w:val="a1"/>
    <w:link w:val="HTML"/>
    <w:uiPriority w:val="99"/>
    <w:semiHidden/>
    <w:rsid w:val="00CF38FC"/>
    <w:rPr>
      <w:rFonts w:ascii="Courier New" w:eastAsia="Times New Roman" w:hAnsi="Courier New" w:cs="Courier New"/>
      <w:bdr w:val="none" w:sz="0" w:space="0" w:color="auto"/>
    </w:rPr>
  </w:style>
  <w:style w:type="character" w:customStyle="1" w:styleId="y2iqfc">
    <w:name w:val="y2iqfc"/>
    <w:basedOn w:val="a1"/>
    <w:rsid w:val="00CF38FC"/>
  </w:style>
  <w:style w:type="paragraph" w:customStyle="1" w:styleId="Default">
    <w:name w:val="Default"/>
    <w:qFormat/>
    <w:rsid w:val="00126D2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color w:val="000000"/>
      <w:sz w:val="24"/>
      <w:szCs w:val="24"/>
      <w:bdr w:val="none" w:sz="0" w:space="0" w:color="auto"/>
    </w:rPr>
  </w:style>
  <w:style w:type="paragraph" w:styleId="a6">
    <w:name w:val="header"/>
    <w:basedOn w:val="a0"/>
    <w:link w:val="a7"/>
    <w:uiPriority w:val="99"/>
    <w:unhideWhenUsed/>
    <w:rsid w:val="00126D28"/>
    <w:pPr>
      <w:tabs>
        <w:tab w:val="center" w:pos="4677"/>
        <w:tab w:val="right" w:pos="9355"/>
      </w:tabs>
    </w:pPr>
  </w:style>
  <w:style w:type="character" w:customStyle="1" w:styleId="a7">
    <w:name w:val="Верхний колонтитул Знак"/>
    <w:basedOn w:val="a1"/>
    <w:link w:val="a6"/>
    <w:uiPriority w:val="99"/>
    <w:rsid w:val="00126D28"/>
    <w:rPr>
      <w:sz w:val="24"/>
      <w:szCs w:val="24"/>
      <w:lang w:val="en-US" w:eastAsia="en-US"/>
    </w:rPr>
  </w:style>
  <w:style w:type="paragraph" w:styleId="a8">
    <w:name w:val="footer"/>
    <w:basedOn w:val="a0"/>
    <w:link w:val="a9"/>
    <w:uiPriority w:val="99"/>
    <w:unhideWhenUsed/>
    <w:rsid w:val="00126D28"/>
    <w:pPr>
      <w:tabs>
        <w:tab w:val="center" w:pos="4677"/>
        <w:tab w:val="right" w:pos="9355"/>
      </w:tabs>
    </w:pPr>
  </w:style>
  <w:style w:type="character" w:customStyle="1" w:styleId="a9">
    <w:name w:val="Нижний колонтитул Знак"/>
    <w:basedOn w:val="a1"/>
    <w:link w:val="a8"/>
    <w:uiPriority w:val="99"/>
    <w:rsid w:val="00126D2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454">
      <w:bodyDiv w:val="1"/>
      <w:marLeft w:val="0"/>
      <w:marRight w:val="0"/>
      <w:marTop w:val="0"/>
      <w:marBottom w:val="0"/>
      <w:divBdr>
        <w:top w:val="none" w:sz="0" w:space="0" w:color="auto"/>
        <w:left w:val="none" w:sz="0" w:space="0" w:color="auto"/>
        <w:bottom w:val="none" w:sz="0" w:space="0" w:color="auto"/>
        <w:right w:val="none" w:sz="0" w:space="0" w:color="auto"/>
      </w:divBdr>
    </w:div>
    <w:div w:id="412363357">
      <w:bodyDiv w:val="1"/>
      <w:marLeft w:val="0"/>
      <w:marRight w:val="0"/>
      <w:marTop w:val="0"/>
      <w:marBottom w:val="0"/>
      <w:divBdr>
        <w:top w:val="none" w:sz="0" w:space="0" w:color="auto"/>
        <w:left w:val="none" w:sz="0" w:space="0" w:color="auto"/>
        <w:bottom w:val="none" w:sz="0" w:space="0" w:color="auto"/>
        <w:right w:val="none" w:sz="0" w:space="0" w:color="auto"/>
      </w:divBdr>
    </w:div>
    <w:div w:id="829715570">
      <w:bodyDiv w:val="1"/>
      <w:marLeft w:val="0"/>
      <w:marRight w:val="0"/>
      <w:marTop w:val="0"/>
      <w:marBottom w:val="0"/>
      <w:divBdr>
        <w:top w:val="none" w:sz="0" w:space="0" w:color="auto"/>
        <w:left w:val="none" w:sz="0" w:space="0" w:color="auto"/>
        <w:bottom w:val="none" w:sz="0" w:space="0" w:color="auto"/>
        <w:right w:val="none" w:sz="0" w:space="0" w:color="auto"/>
      </w:divBdr>
    </w:div>
    <w:div w:id="1378508619">
      <w:bodyDiv w:val="1"/>
      <w:marLeft w:val="0"/>
      <w:marRight w:val="0"/>
      <w:marTop w:val="0"/>
      <w:marBottom w:val="0"/>
      <w:divBdr>
        <w:top w:val="none" w:sz="0" w:space="0" w:color="auto"/>
        <w:left w:val="none" w:sz="0" w:space="0" w:color="auto"/>
        <w:bottom w:val="none" w:sz="0" w:space="0" w:color="auto"/>
        <w:right w:val="none" w:sz="0" w:space="0" w:color="auto"/>
      </w:divBdr>
    </w:div>
    <w:div w:id="1858232307">
      <w:bodyDiv w:val="1"/>
      <w:marLeft w:val="0"/>
      <w:marRight w:val="0"/>
      <w:marTop w:val="0"/>
      <w:marBottom w:val="0"/>
      <w:divBdr>
        <w:top w:val="none" w:sz="0" w:space="0" w:color="auto"/>
        <w:left w:val="none" w:sz="0" w:space="0" w:color="auto"/>
        <w:bottom w:val="none" w:sz="0" w:space="0" w:color="auto"/>
        <w:right w:val="none" w:sz="0" w:space="0" w:color="auto"/>
      </w:divBdr>
    </w:div>
    <w:div w:id="1917743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2024-02-13T05:07:00Z</dcterms:created>
  <dcterms:modified xsi:type="dcterms:W3CDTF">2024-05-18T12:35:00Z</dcterms:modified>
</cp:coreProperties>
</file>